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F561" w14:textId="77777777" w:rsidR="00560F60" w:rsidRPr="009E19DE" w:rsidRDefault="00560F60" w:rsidP="00837ADD">
      <w:pPr>
        <w:jc w:val="center"/>
        <w:rPr>
          <w:rFonts w:ascii="Arial" w:hAnsi="Arial" w:cs="Arial"/>
          <w:b/>
          <w:sz w:val="28"/>
          <w:szCs w:val="28"/>
        </w:rPr>
      </w:pPr>
      <w:bookmarkStart w:id="0" w:name="_GoBack"/>
      <w:bookmarkEnd w:id="0"/>
      <w:r w:rsidRPr="009E19DE">
        <w:rPr>
          <w:rFonts w:ascii="Arial" w:hAnsi="Arial" w:cs="Arial"/>
          <w:b/>
          <w:sz w:val="28"/>
          <w:szCs w:val="28"/>
        </w:rPr>
        <w:t xml:space="preserve">Redox Flow Battery Systems:  </w:t>
      </w:r>
    </w:p>
    <w:p w14:paraId="7DB7783B" w14:textId="77777777" w:rsidR="00837ADD" w:rsidRPr="009E19DE" w:rsidRDefault="00560F60" w:rsidP="00837ADD">
      <w:pPr>
        <w:jc w:val="center"/>
        <w:rPr>
          <w:rFonts w:ascii="Arial" w:hAnsi="Arial" w:cs="Arial"/>
          <w:b/>
          <w:sz w:val="28"/>
          <w:szCs w:val="28"/>
        </w:rPr>
      </w:pPr>
      <w:r w:rsidRPr="009E19DE">
        <w:rPr>
          <w:rFonts w:ascii="Arial" w:hAnsi="Arial" w:cs="Arial"/>
          <w:b/>
          <w:sz w:val="28"/>
          <w:szCs w:val="28"/>
        </w:rPr>
        <w:t>Current Status and Future Prospects</w:t>
      </w:r>
    </w:p>
    <w:p w14:paraId="028C6227" w14:textId="77777777" w:rsidR="00837ADD" w:rsidRPr="009E19DE" w:rsidRDefault="00837ADD" w:rsidP="00837ADD">
      <w:pPr>
        <w:jc w:val="center"/>
        <w:rPr>
          <w:rFonts w:ascii="Arial" w:hAnsi="Arial" w:cs="Arial"/>
          <w:b/>
          <w:sz w:val="22"/>
          <w:szCs w:val="22"/>
        </w:rPr>
      </w:pPr>
    </w:p>
    <w:p w14:paraId="5E9E293D" w14:textId="77777777" w:rsidR="00837ADD" w:rsidRPr="009E19DE" w:rsidRDefault="00837ADD" w:rsidP="00837ADD">
      <w:pPr>
        <w:jc w:val="center"/>
        <w:rPr>
          <w:rFonts w:ascii="Arial" w:eastAsia="Arial" w:hAnsi="Arial" w:cs="Arial"/>
          <w:sz w:val="24"/>
          <w:szCs w:val="24"/>
          <w:lang w:bidi="en-US"/>
        </w:rPr>
      </w:pPr>
      <w:bookmarkStart w:id="1" w:name="OLE_LINK29"/>
      <w:bookmarkStart w:id="2" w:name="OLE_LINK30"/>
      <w:r w:rsidRPr="009E19DE">
        <w:rPr>
          <w:rFonts w:ascii="Arial" w:eastAsia="Arial" w:hAnsi="Arial" w:cs="Arial"/>
          <w:sz w:val="24"/>
          <w:szCs w:val="24"/>
          <w:lang w:bidi="en-US"/>
        </w:rPr>
        <w:t>Mike L. Perry</w:t>
      </w:r>
    </w:p>
    <w:bookmarkEnd w:id="1"/>
    <w:bookmarkEnd w:id="2"/>
    <w:p w14:paraId="74A0F668" w14:textId="77777777" w:rsidR="00837ADD" w:rsidRPr="009E19DE" w:rsidRDefault="00837ADD" w:rsidP="00837ADD">
      <w:pPr>
        <w:jc w:val="center"/>
        <w:rPr>
          <w:rFonts w:ascii="Arial" w:hAnsi="Arial" w:cs="Arial"/>
          <w:sz w:val="24"/>
          <w:szCs w:val="24"/>
        </w:rPr>
      </w:pPr>
      <w:r w:rsidRPr="009E19DE">
        <w:rPr>
          <w:rFonts w:ascii="Arial" w:hAnsi="Arial" w:cs="Arial"/>
          <w:sz w:val="24"/>
          <w:szCs w:val="24"/>
        </w:rPr>
        <w:t>United Technologies Research Center (UTRC)</w:t>
      </w:r>
    </w:p>
    <w:p w14:paraId="5E19DE2E" w14:textId="77777777" w:rsidR="00837ADD" w:rsidRPr="009E19DE" w:rsidRDefault="00837ADD" w:rsidP="00837ADD">
      <w:pPr>
        <w:jc w:val="center"/>
        <w:rPr>
          <w:rFonts w:ascii="Arial" w:hAnsi="Arial" w:cs="Arial"/>
          <w:sz w:val="22"/>
          <w:szCs w:val="22"/>
        </w:rPr>
      </w:pPr>
      <w:r w:rsidRPr="009E19DE">
        <w:rPr>
          <w:rFonts w:ascii="Arial" w:hAnsi="Arial" w:cs="Arial"/>
          <w:sz w:val="24"/>
          <w:szCs w:val="24"/>
        </w:rPr>
        <w:t>East Hartford, CT, 06108, USA</w:t>
      </w:r>
    </w:p>
    <w:p w14:paraId="216D61DB" w14:textId="77777777" w:rsidR="00837ADD" w:rsidRPr="009E19DE" w:rsidRDefault="00837ADD" w:rsidP="00837ADD">
      <w:pPr>
        <w:jc w:val="center"/>
        <w:rPr>
          <w:rFonts w:ascii="Arial" w:hAnsi="Arial" w:cs="Arial"/>
          <w:sz w:val="22"/>
          <w:szCs w:val="22"/>
        </w:rPr>
      </w:pPr>
    </w:p>
    <w:p w14:paraId="7C4FCB8C" w14:textId="77777777" w:rsidR="00EC593E" w:rsidRPr="009E19DE" w:rsidRDefault="00EC593E" w:rsidP="00837ADD">
      <w:pPr>
        <w:jc w:val="center"/>
        <w:rPr>
          <w:rFonts w:ascii="Arial" w:hAnsi="Arial" w:cs="Arial"/>
          <w:sz w:val="22"/>
          <w:szCs w:val="22"/>
        </w:rPr>
      </w:pPr>
    </w:p>
    <w:p w14:paraId="1C40B485" w14:textId="77777777" w:rsidR="009B1B17" w:rsidRPr="009E19DE" w:rsidRDefault="00D444EC" w:rsidP="00D444EC">
      <w:pPr>
        <w:widowControl/>
        <w:tabs>
          <w:tab w:val="left" w:pos="1515"/>
        </w:tabs>
        <w:autoSpaceDE w:val="0"/>
        <w:autoSpaceDN w:val="0"/>
        <w:adjustRightInd w:val="0"/>
        <w:jc w:val="both"/>
        <w:rPr>
          <w:rFonts w:ascii="Arial" w:hAnsi="Arial" w:cs="Arial"/>
          <w:b/>
          <w:sz w:val="22"/>
          <w:szCs w:val="22"/>
        </w:rPr>
      </w:pPr>
      <w:r w:rsidRPr="009E19DE">
        <w:rPr>
          <w:rFonts w:ascii="Arial" w:hAnsi="Arial" w:cs="Arial"/>
          <w:b/>
          <w:sz w:val="22"/>
          <w:szCs w:val="22"/>
        </w:rPr>
        <w:tab/>
      </w:r>
    </w:p>
    <w:p w14:paraId="795A1320" w14:textId="77777777" w:rsidR="00387685" w:rsidRPr="009E19DE" w:rsidRDefault="00387685" w:rsidP="00387685">
      <w:pPr>
        <w:pStyle w:val="ListParagraph"/>
        <w:spacing w:line="240" w:lineRule="auto"/>
        <w:ind w:left="0"/>
        <w:jc w:val="both"/>
        <w:rPr>
          <w:rFonts w:ascii="Arial" w:hAnsi="Arial" w:cs="Arial"/>
          <w:bCs/>
          <w:sz w:val="24"/>
          <w:szCs w:val="24"/>
          <w:lang w:eastAsia="ja-JP"/>
        </w:rPr>
      </w:pPr>
      <w:r w:rsidRPr="009E19DE">
        <w:rPr>
          <w:rFonts w:ascii="Arial" w:hAnsi="Arial" w:cs="Arial"/>
          <w:sz w:val="24"/>
          <w:szCs w:val="24"/>
        </w:rPr>
        <w:t>Grid-scale energy storage systems with large energy capacities will be required to maximize the integration of larg</w:t>
      </w:r>
      <w:r w:rsidR="006F4616" w:rsidRPr="009E19DE">
        <w:rPr>
          <w:rFonts w:ascii="Arial" w:hAnsi="Arial" w:cs="Arial"/>
          <w:sz w:val="24"/>
          <w:szCs w:val="24"/>
        </w:rPr>
        <w:t>e-scale variable electric-</w:t>
      </w:r>
      <w:r w:rsidRPr="009E19DE">
        <w:rPr>
          <w:rFonts w:ascii="Arial" w:hAnsi="Arial" w:cs="Arial"/>
          <w:sz w:val="24"/>
          <w:szCs w:val="24"/>
        </w:rPr>
        <w:t>generation</w:t>
      </w:r>
      <w:r w:rsidR="006F4616" w:rsidRPr="009E19DE">
        <w:rPr>
          <w:rFonts w:ascii="Arial" w:hAnsi="Arial" w:cs="Arial"/>
          <w:sz w:val="24"/>
          <w:szCs w:val="24"/>
        </w:rPr>
        <w:t xml:space="preserve"> resources</w:t>
      </w:r>
      <w:r w:rsidRPr="009E19DE">
        <w:rPr>
          <w:rFonts w:ascii="Arial" w:hAnsi="Arial" w:cs="Arial"/>
          <w:sz w:val="24"/>
          <w:szCs w:val="24"/>
        </w:rPr>
        <w:t xml:space="preserve"> (</w:t>
      </w:r>
      <w:r w:rsidRPr="009E19DE">
        <w:rPr>
          <w:rFonts w:ascii="Arial" w:hAnsi="Arial" w:cs="Arial"/>
          <w:i/>
          <w:sz w:val="24"/>
          <w:szCs w:val="24"/>
        </w:rPr>
        <w:t>e.g</w:t>
      </w:r>
      <w:r w:rsidRPr="009E19DE">
        <w:rPr>
          <w:rFonts w:ascii="Arial" w:hAnsi="Arial" w:cs="Arial"/>
          <w:sz w:val="24"/>
          <w:szCs w:val="24"/>
        </w:rPr>
        <w:t xml:space="preserve">., utility-scale solar and wind).  </w:t>
      </w:r>
      <w:r w:rsidR="00D444EC" w:rsidRPr="009E19DE">
        <w:rPr>
          <w:rFonts w:ascii="Arial" w:hAnsi="Arial" w:cs="Arial"/>
          <w:bCs/>
          <w:sz w:val="24"/>
          <w:szCs w:val="24"/>
          <w:lang w:eastAsia="ja-JP"/>
        </w:rPr>
        <w:t>Some uses of electrical-e</w:t>
      </w:r>
      <w:r w:rsidR="004117BB" w:rsidRPr="009E19DE">
        <w:rPr>
          <w:rFonts w:ascii="Arial" w:hAnsi="Arial" w:cs="Arial"/>
          <w:bCs/>
          <w:sz w:val="24"/>
          <w:szCs w:val="24"/>
          <w:lang w:eastAsia="ja-JP"/>
        </w:rPr>
        <w:t>nergy storage (EES)</w:t>
      </w:r>
      <w:r w:rsidR="00D444EC" w:rsidRPr="009E19DE">
        <w:rPr>
          <w:rFonts w:ascii="Arial" w:hAnsi="Arial" w:cs="Arial"/>
          <w:bCs/>
          <w:sz w:val="24"/>
          <w:szCs w:val="24"/>
          <w:lang w:eastAsia="ja-JP"/>
        </w:rPr>
        <w:t xml:space="preserve"> are currently economically attractive relative to conventional alter</w:t>
      </w:r>
      <w:r w:rsidR="004117BB" w:rsidRPr="009E19DE">
        <w:rPr>
          <w:rFonts w:ascii="Arial" w:hAnsi="Arial" w:cs="Arial"/>
          <w:bCs/>
          <w:sz w:val="24"/>
          <w:szCs w:val="24"/>
          <w:lang w:eastAsia="ja-JP"/>
        </w:rPr>
        <w:t>natives, such as</w:t>
      </w:r>
      <w:r w:rsidR="006F4616" w:rsidRPr="009E19DE">
        <w:rPr>
          <w:rFonts w:ascii="Arial" w:hAnsi="Arial" w:cs="Arial"/>
          <w:bCs/>
          <w:sz w:val="24"/>
          <w:szCs w:val="24"/>
          <w:lang w:eastAsia="ja-JP"/>
        </w:rPr>
        <w:t xml:space="preserve"> regulation of</w:t>
      </w:r>
      <w:r w:rsidR="00D444EC" w:rsidRPr="009E19DE">
        <w:rPr>
          <w:rFonts w:ascii="Arial" w:hAnsi="Arial" w:cs="Arial"/>
          <w:bCs/>
          <w:sz w:val="24"/>
          <w:szCs w:val="24"/>
          <w:lang w:eastAsia="ja-JP"/>
        </w:rPr>
        <w:t xml:space="preserve"> the power grid (</w:t>
      </w:r>
      <w:r w:rsidR="00D444EC" w:rsidRPr="009E19DE">
        <w:rPr>
          <w:rFonts w:ascii="Arial" w:hAnsi="Arial" w:cs="Arial"/>
          <w:bCs/>
          <w:i/>
          <w:sz w:val="24"/>
          <w:szCs w:val="24"/>
          <w:lang w:eastAsia="ja-JP"/>
        </w:rPr>
        <w:t>e.g.,</w:t>
      </w:r>
      <w:r w:rsidR="00D444EC" w:rsidRPr="009E19DE">
        <w:rPr>
          <w:rFonts w:ascii="Arial" w:hAnsi="Arial" w:cs="Arial"/>
          <w:bCs/>
          <w:sz w:val="24"/>
          <w:szCs w:val="24"/>
          <w:lang w:eastAsia="ja-JP"/>
        </w:rPr>
        <w:t xml:space="preserve"> fre</w:t>
      </w:r>
      <w:r w:rsidR="006F4616" w:rsidRPr="009E19DE">
        <w:rPr>
          <w:rFonts w:ascii="Arial" w:hAnsi="Arial" w:cs="Arial"/>
          <w:bCs/>
          <w:sz w:val="24"/>
          <w:szCs w:val="24"/>
          <w:lang w:eastAsia="ja-JP"/>
        </w:rPr>
        <w:t>quency response</w:t>
      </w:r>
      <w:r w:rsidR="00D444EC" w:rsidRPr="009E19DE">
        <w:rPr>
          <w:rFonts w:ascii="Arial" w:hAnsi="Arial" w:cs="Arial"/>
          <w:bCs/>
          <w:sz w:val="24"/>
          <w:szCs w:val="24"/>
          <w:lang w:eastAsia="ja-JP"/>
        </w:rPr>
        <w:t>).  However, more transformational scenarios, such as the widespread conversion of renewable energy resources to baseloa</w:t>
      </w:r>
      <w:r w:rsidR="006F4616" w:rsidRPr="009E19DE">
        <w:rPr>
          <w:rFonts w:ascii="Arial" w:hAnsi="Arial" w:cs="Arial"/>
          <w:bCs/>
          <w:sz w:val="24"/>
          <w:szCs w:val="24"/>
          <w:lang w:eastAsia="ja-JP"/>
        </w:rPr>
        <w:t>d/dispatchable generation</w:t>
      </w:r>
      <w:r w:rsidR="00D444EC" w:rsidRPr="009E19DE">
        <w:rPr>
          <w:rFonts w:ascii="Arial" w:hAnsi="Arial" w:cs="Arial"/>
          <w:bCs/>
          <w:sz w:val="24"/>
          <w:szCs w:val="24"/>
          <w:lang w:eastAsia="ja-JP"/>
        </w:rPr>
        <w:t xml:space="preserve"> requires </w:t>
      </w:r>
      <w:r w:rsidR="004117BB" w:rsidRPr="009E19DE">
        <w:rPr>
          <w:rFonts w:ascii="Arial" w:hAnsi="Arial" w:cs="Arial"/>
          <w:bCs/>
          <w:sz w:val="24"/>
          <w:szCs w:val="24"/>
          <w:lang w:eastAsia="ja-JP"/>
        </w:rPr>
        <w:t xml:space="preserve">EES systems with </w:t>
      </w:r>
      <w:r w:rsidR="00D444EC" w:rsidRPr="009E19DE">
        <w:rPr>
          <w:rFonts w:ascii="Arial" w:hAnsi="Arial" w:cs="Arial"/>
          <w:bCs/>
          <w:sz w:val="24"/>
          <w:szCs w:val="24"/>
          <w:lang w:eastAsia="ja-JP"/>
        </w:rPr>
        <w:t>long discharge duration</w:t>
      </w:r>
      <w:r w:rsidR="004117BB" w:rsidRPr="009E19DE">
        <w:rPr>
          <w:rFonts w:ascii="Arial" w:hAnsi="Arial" w:cs="Arial"/>
          <w:bCs/>
          <w:sz w:val="24"/>
          <w:szCs w:val="24"/>
          <w:lang w:eastAsia="ja-JP"/>
        </w:rPr>
        <w:t>s and capital costs that</w:t>
      </w:r>
      <w:r w:rsidR="00D444EC" w:rsidRPr="009E19DE">
        <w:rPr>
          <w:rFonts w:ascii="Arial" w:hAnsi="Arial" w:cs="Arial"/>
          <w:bCs/>
          <w:sz w:val="24"/>
          <w:szCs w:val="24"/>
          <w:lang w:eastAsia="ja-JP"/>
        </w:rPr>
        <w:t xml:space="preserve"> ar</w:t>
      </w:r>
      <w:r w:rsidR="004117BB" w:rsidRPr="009E19DE">
        <w:rPr>
          <w:rFonts w:ascii="Arial" w:hAnsi="Arial" w:cs="Arial"/>
          <w:bCs/>
          <w:sz w:val="24"/>
          <w:szCs w:val="24"/>
          <w:lang w:eastAsia="ja-JP"/>
        </w:rPr>
        <w:t>e lower than</w:t>
      </w:r>
      <w:r w:rsidR="00D444EC" w:rsidRPr="009E19DE">
        <w:rPr>
          <w:rFonts w:ascii="Arial" w:hAnsi="Arial" w:cs="Arial"/>
          <w:bCs/>
          <w:sz w:val="24"/>
          <w:szCs w:val="24"/>
          <w:lang w:eastAsia="ja-JP"/>
        </w:rPr>
        <w:t xml:space="preserve"> current battery prices</w:t>
      </w:r>
      <w:r w:rsidR="006F4616" w:rsidRPr="009E19DE">
        <w:rPr>
          <w:rFonts w:ascii="Arial" w:hAnsi="Arial" w:cs="Arial"/>
          <w:bCs/>
          <w:sz w:val="24"/>
          <w:szCs w:val="24"/>
          <w:lang w:eastAsia="ja-JP"/>
        </w:rPr>
        <w:t xml:space="preserve"> [1]</w:t>
      </w:r>
      <w:r w:rsidR="00D444EC" w:rsidRPr="009E19DE">
        <w:rPr>
          <w:rFonts w:ascii="Arial" w:hAnsi="Arial" w:cs="Arial"/>
          <w:bCs/>
          <w:sz w:val="24"/>
          <w:szCs w:val="24"/>
          <w:lang w:eastAsia="ja-JP"/>
        </w:rPr>
        <w:t>.</w:t>
      </w:r>
      <w:r w:rsidR="004117BB" w:rsidRPr="009E19DE">
        <w:rPr>
          <w:rFonts w:ascii="Arial" w:hAnsi="Arial" w:cs="Arial"/>
          <w:bCs/>
          <w:sz w:val="24"/>
          <w:szCs w:val="24"/>
          <w:lang w:eastAsia="ja-JP"/>
        </w:rPr>
        <w:t xml:space="preserve"> A detailed techno-economic study conducted by DOE’s Joint Center for Energy Storage Research (JCESR) has shown that </w:t>
      </w:r>
      <w:r w:rsidRPr="009E19DE">
        <w:rPr>
          <w:rFonts w:ascii="Arial" w:hAnsi="Arial" w:cs="Arial"/>
          <w:bCs/>
          <w:sz w:val="24"/>
          <w:szCs w:val="24"/>
          <w:lang w:eastAsia="ja-JP"/>
        </w:rPr>
        <w:t>redox flow batteries (</w:t>
      </w:r>
      <w:r w:rsidR="004117BB" w:rsidRPr="009E19DE">
        <w:rPr>
          <w:rFonts w:ascii="Arial" w:hAnsi="Arial" w:cs="Arial"/>
          <w:bCs/>
          <w:sz w:val="24"/>
          <w:szCs w:val="24"/>
          <w:lang w:eastAsia="ja-JP"/>
        </w:rPr>
        <w:t>RFBs</w:t>
      </w:r>
      <w:r w:rsidRPr="009E19DE">
        <w:rPr>
          <w:rFonts w:ascii="Arial" w:hAnsi="Arial" w:cs="Arial"/>
          <w:bCs/>
          <w:sz w:val="24"/>
          <w:szCs w:val="24"/>
          <w:lang w:eastAsia="ja-JP"/>
        </w:rPr>
        <w:t>)</w:t>
      </w:r>
      <w:r w:rsidR="004117BB" w:rsidRPr="009E19DE">
        <w:rPr>
          <w:rFonts w:ascii="Arial" w:hAnsi="Arial" w:cs="Arial"/>
          <w:bCs/>
          <w:sz w:val="24"/>
          <w:szCs w:val="24"/>
          <w:lang w:eastAsia="ja-JP"/>
        </w:rPr>
        <w:t xml:space="preserve"> have the potential to meet the challenging cost requirements for EES applications with 5-hour discharge times at rated power [</w:t>
      </w:r>
      <w:r w:rsidR="006F4616" w:rsidRPr="009E19DE">
        <w:rPr>
          <w:rFonts w:ascii="Arial" w:hAnsi="Arial" w:cs="Arial"/>
          <w:noProof/>
          <w:sz w:val="24"/>
          <w:szCs w:val="24"/>
        </w:rPr>
        <w:t>2</w:t>
      </w:r>
      <w:r w:rsidR="004117BB" w:rsidRPr="009E19DE">
        <w:rPr>
          <w:rFonts w:ascii="Arial" w:hAnsi="Arial" w:cs="Arial"/>
          <w:noProof/>
          <w:sz w:val="24"/>
          <w:szCs w:val="24"/>
        </w:rPr>
        <w:t xml:space="preserve">].  </w:t>
      </w:r>
      <w:r w:rsidRPr="009E19DE">
        <w:rPr>
          <w:rFonts w:ascii="Arial" w:hAnsi="Arial" w:cs="Arial"/>
          <w:bCs/>
          <w:sz w:val="24"/>
          <w:szCs w:val="24"/>
          <w:lang w:eastAsia="ja-JP"/>
        </w:rPr>
        <w:t>However, one would also like to assess if this future potential can actually be realized and, if so, the likely timing of the additional technical developments required.  Therefore, the focus of this talk will be to compare the current state of deployed RFB systems to the Future Sta</w:t>
      </w:r>
      <w:r w:rsidR="006F4616" w:rsidRPr="009E19DE">
        <w:rPr>
          <w:rFonts w:ascii="Arial" w:hAnsi="Arial" w:cs="Arial"/>
          <w:bCs/>
          <w:sz w:val="24"/>
          <w:szCs w:val="24"/>
          <w:lang w:eastAsia="ja-JP"/>
        </w:rPr>
        <w:t>te of JCSER’s</w:t>
      </w:r>
      <w:r w:rsidRPr="009E19DE">
        <w:rPr>
          <w:rFonts w:ascii="Arial" w:hAnsi="Arial" w:cs="Arial"/>
          <w:bCs/>
          <w:sz w:val="24"/>
          <w:szCs w:val="24"/>
          <w:lang w:eastAsia="ja-JP"/>
        </w:rPr>
        <w:t xml:space="preserve"> techno-economic model.  There are many research opportunities that can enable </w:t>
      </w:r>
      <w:r w:rsidRPr="009E19DE">
        <w:rPr>
          <w:rFonts w:ascii="Arial" w:hAnsi="Arial" w:cs="Arial"/>
          <w:sz w:val="24"/>
          <w:szCs w:val="24"/>
        </w:rPr>
        <w:t xml:space="preserve">substantial cost reductions in future RFB systems, such as the development of </w:t>
      </w:r>
      <w:r w:rsidRPr="009E19DE">
        <w:rPr>
          <w:rFonts w:ascii="Arial" w:hAnsi="Arial" w:cs="Arial"/>
          <w:bCs/>
          <w:sz w:val="24"/>
          <w:szCs w:val="24"/>
          <w:lang w:eastAsia="ja-JP"/>
        </w:rPr>
        <w:t xml:space="preserve">advanced RFB materials, especially </w:t>
      </w:r>
      <w:r w:rsidRPr="009E19DE">
        <w:rPr>
          <w:rFonts w:ascii="Arial" w:hAnsi="Arial" w:cs="Arial"/>
          <w:sz w:val="24"/>
          <w:szCs w:val="24"/>
        </w:rPr>
        <w:t>cell-stack components (</w:t>
      </w:r>
      <w:r w:rsidRPr="009E19DE">
        <w:rPr>
          <w:rFonts w:ascii="Arial" w:hAnsi="Arial" w:cs="Arial"/>
          <w:i/>
          <w:sz w:val="24"/>
          <w:szCs w:val="24"/>
        </w:rPr>
        <w:t>e.g</w:t>
      </w:r>
      <w:r w:rsidRPr="009E19DE">
        <w:rPr>
          <w:rFonts w:ascii="Arial" w:hAnsi="Arial" w:cs="Arial"/>
          <w:sz w:val="24"/>
          <w:szCs w:val="24"/>
        </w:rPr>
        <w:t>., membranes and electrodes) and RFB active materials [</w:t>
      </w:r>
      <w:r w:rsidR="006F4616" w:rsidRPr="009E19DE">
        <w:rPr>
          <w:rFonts w:ascii="Arial" w:hAnsi="Arial" w:cs="Arial"/>
          <w:sz w:val="24"/>
          <w:szCs w:val="24"/>
        </w:rPr>
        <w:t>3</w:t>
      </w:r>
      <w:r w:rsidRPr="009E19DE">
        <w:rPr>
          <w:rFonts w:ascii="Arial" w:hAnsi="Arial" w:cs="Arial"/>
          <w:sz w:val="24"/>
          <w:szCs w:val="24"/>
        </w:rPr>
        <w:t xml:space="preserve">].  </w:t>
      </w:r>
      <w:r w:rsidR="006F4616" w:rsidRPr="009E19DE">
        <w:rPr>
          <w:rFonts w:ascii="Arial" w:hAnsi="Arial" w:cs="Arial"/>
          <w:sz w:val="24"/>
          <w:szCs w:val="24"/>
        </w:rPr>
        <w:t>Some of UTRC’s recent and ongoing work will be presented, with an emphasis of our work with local partners that include:  Vionx Energy (Woburn, MA), MIT, Harvard and Advent Technologies (Cambridge, MA).</w:t>
      </w:r>
    </w:p>
    <w:p w14:paraId="0F9CB767" w14:textId="77777777" w:rsidR="006F4616" w:rsidRPr="009E19DE" w:rsidRDefault="006F4616" w:rsidP="006F4616">
      <w:pPr>
        <w:numPr>
          <w:ilvl w:val="0"/>
          <w:numId w:val="11"/>
        </w:numPr>
        <w:jc w:val="both"/>
        <w:rPr>
          <w:rFonts w:ascii="Arial" w:hAnsi="Arial" w:cs="Arial"/>
          <w:sz w:val="22"/>
          <w:szCs w:val="22"/>
        </w:rPr>
      </w:pPr>
      <w:r w:rsidRPr="009E19DE">
        <w:rPr>
          <w:rFonts w:ascii="Arial" w:hAnsi="Arial" w:cs="Arial"/>
          <w:bCs/>
          <w:sz w:val="24"/>
          <w:szCs w:val="24"/>
          <w:lang w:eastAsia="ja-JP"/>
        </w:rPr>
        <w:t xml:space="preserve">Lazard’s </w:t>
      </w:r>
      <w:proofErr w:type="spellStart"/>
      <w:r w:rsidRPr="009E19DE">
        <w:rPr>
          <w:rFonts w:ascii="Arial" w:hAnsi="Arial" w:cs="Arial"/>
          <w:bCs/>
          <w:sz w:val="24"/>
          <w:szCs w:val="24"/>
          <w:lang w:eastAsia="ja-JP"/>
        </w:rPr>
        <w:t>Levelized</w:t>
      </w:r>
      <w:proofErr w:type="spellEnd"/>
      <w:r w:rsidRPr="009E19DE">
        <w:rPr>
          <w:rFonts w:ascii="Arial" w:hAnsi="Arial" w:cs="Arial"/>
          <w:bCs/>
          <w:sz w:val="24"/>
          <w:szCs w:val="24"/>
          <w:lang w:eastAsia="ja-JP"/>
        </w:rPr>
        <w:t xml:space="preserve"> Cost Of Storage, V2.0 (2016)</w:t>
      </w:r>
    </w:p>
    <w:p w14:paraId="0A3498CD" w14:textId="77777777" w:rsidR="006F4616" w:rsidRPr="009E19DE" w:rsidRDefault="006F4616" w:rsidP="006F4616">
      <w:pPr>
        <w:numPr>
          <w:ilvl w:val="0"/>
          <w:numId w:val="11"/>
        </w:numPr>
        <w:jc w:val="both"/>
        <w:rPr>
          <w:rFonts w:ascii="Arial" w:hAnsi="Arial" w:cs="Arial"/>
          <w:sz w:val="22"/>
          <w:szCs w:val="22"/>
        </w:rPr>
      </w:pPr>
      <w:r w:rsidRPr="009E19DE">
        <w:rPr>
          <w:rFonts w:ascii="Arial" w:hAnsi="Arial" w:cs="Arial"/>
          <w:noProof/>
          <w:sz w:val="24"/>
          <w:szCs w:val="24"/>
        </w:rPr>
        <w:t>R. Darling,</w:t>
      </w:r>
      <w:r w:rsidRPr="009E19DE">
        <w:rPr>
          <w:rFonts w:ascii="Arial" w:hAnsi="Arial" w:cs="Arial"/>
          <w:i/>
          <w:noProof/>
          <w:sz w:val="24"/>
          <w:szCs w:val="24"/>
        </w:rPr>
        <w:t xml:space="preserve"> et.al</w:t>
      </w:r>
      <w:r w:rsidRPr="009E19DE">
        <w:rPr>
          <w:rFonts w:ascii="Arial" w:hAnsi="Arial" w:cs="Arial"/>
          <w:noProof/>
          <w:sz w:val="24"/>
          <w:szCs w:val="24"/>
        </w:rPr>
        <w:t xml:space="preserve">., </w:t>
      </w:r>
      <w:r w:rsidRPr="009E19DE">
        <w:rPr>
          <w:rFonts w:ascii="Arial" w:hAnsi="Arial" w:cs="Arial"/>
          <w:i/>
          <w:noProof/>
          <w:sz w:val="24"/>
          <w:szCs w:val="24"/>
        </w:rPr>
        <w:t>Energy &amp; Environmental Science</w:t>
      </w:r>
      <w:r w:rsidRPr="009E19DE">
        <w:rPr>
          <w:rFonts w:ascii="Arial" w:hAnsi="Arial" w:cs="Arial"/>
          <w:noProof/>
          <w:sz w:val="24"/>
          <w:szCs w:val="24"/>
        </w:rPr>
        <w:t xml:space="preserve">, </w:t>
      </w:r>
      <w:r w:rsidRPr="009E19DE">
        <w:rPr>
          <w:rFonts w:ascii="Arial" w:hAnsi="Arial" w:cs="Arial"/>
          <w:b/>
          <w:noProof/>
          <w:sz w:val="24"/>
          <w:szCs w:val="24"/>
        </w:rPr>
        <w:t>7</w:t>
      </w:r>
      <w:r w:rsidRPr="009E19DE">
        <w:rPr>
          <w:rFonts w:ascii="Arial" w:hAnsi="Arial" w:cs="Arial"/>
          <w:noProof/>
          <w:sz w:val="24"/>
          <w:szCs w:val="24"/>
        </w:rPr>
        <w:t>, 3459 (2014)</w:t>
      </w:r>
    </w:p>
    <w:p w14:paraId="1ED6B4A9" w14:textId="77777777" w:rsidR="00D40373" w:rsidRPr="009E19DE" w:rsidRDefault="006F4616" w:rsidP="006F4616">
      <w:pPr>
        <w:numPr>
          <w:ilvl w:val="0"/>
          <w:numId w:val="11"/>
        </w:numPr>
        <w:jc w:val="both"/>
        <w:rPr>
          <w:rFonts w:ascii="Arial" w:hAnsi="Arial" w:cs="Arial"/>
          <w:sz w:val="22"/>
          <w:szCs w:val="22"/>
        </w:rPr>
      </w:pPr>
      <w:r w:rsidRPr="009E19DE">
        <w:rPr>
          <w:rFonts w:ascii="Arial" w:hAnsi="Arial" w:cs="Arial"/>
          <w:sz w:val="24"/>
          <w:szCs w:val="24"/>
        </w:rPr>
        <w:t xml:space="preserve">M. Perry and A. Weber, </w:t>
      </w:r>
      <w:r w:rsidRPr="009E19DE">
        <w:rPr>
          <w:rFonts w:ascii="Arial" w:hAnsi="Arial" w:cs="Arial"/>
          <w:i/>
          <w:sz w:val="24"/>
          <w:szCs w:val="24"/>
        </w:rPr>
        <w:t>J. Electrochemical Society</w:t>
      </w:r>
      <w:r w:rsidRPr="009E19DE">
        <w:rPr>
          <w:rFonts w:ascii="Arial" w:hAnsi="Arial" w:cs="Arial"/>
          <w:sz w:val="24"/>
          <w:szCs w:val="24"/>
        </w:rPr>
        <w:t xml:space="preserve">, </w:t>
      </w:r>
      <w:r w:rsidRPr="009E19DE">
        <w:rPr>
          <w:rFonts w:ascii="Arial" w:hAnsi="Arial" w:cs="Arial"/>
          <w:b/>
          <w:sz w:val="24"/>
          <w:szCs w:val="24"/>
        </w:rPr>
        <w:t>163</w:t>
      </w:r>
      <w:r w:rsidRPr="009E19DE">
        <w:rPr>
          <w:rFonts w:ascii="Arial" w:hAnsi="Arial" w:cs="Arial"/>
          <w:sz w:val="24"/>
          <w:szCs w:val="24"/>
        </w:rPr>
        <w:t>, A5064 (2016)</w:t>
      </w:r>
    </w:p>
    <w:p w14:paraId="2DDD761C" w14:textId="77777777" w:rsidR="00D90AAE" w:rsidRPr="009E19DE" w:rsidRDefault="00D90AAE" w:rsidP="00D444EC">
      <w:pPr>
        <w:pStyle w:val="ListParagraph"/>
        <w:spacing w:line="240" w:lineRule="auto"/>
        <w:ind w:left="0"/>
        <w:jc w:val="both"/>
        <w:rPr>
          <w:rFonts w:ascii="Arial" w:hAnsi="Arial" w:cs="Arial"/>
          <w:sz w:val="20"/>
          <w:szCs w:val="20"/>
        </w:rPr>
      </w:pPr>
    </w:p>
    <w:sectPr w:rsidR="00D90AAE" w:rsidRPr="009E19DE" w:rsidSect="00EC593E">
      <w:footnotePr>
        <w:numRestart w:val="eachSect"/>
      </w:footnotePr>
      <w:endnotePr>
        <w:numFmt w:val="decimal"/>
      </w:endnotePr>
      <w:type w:val="continuous"/>
      <w:pgSz w:w="12240" w:h="20160"/>
      <w:pgMar w:top="1440" w:right="108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509F" w14:textId="77777777" w:rsidR="0036063B" w:rsidRDefault="0036063B" w:rsidP="00144B4F">
      <w:r>
        <w:separator/>
      </w:r>
    </w:p>
  </w:endnote>
  <w:endnote w:type="continuationSeparator" w:id="0">
    <w:p w14:paraId="69259092" w14:textId="77777777" w:rsidR="0036063B" w:rsidRDefault="0036063B" w:rsidP="001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6F22" w14:textId="77777777" w:rsidR="0036063B" w:rsidRDefault="0036063B" w:rsidP="00144B4F">
      <w:r>
        <w:separator/>
      </w:r>
    </w:p>
  </w:footnote>
  <w:footnote w:type="continuationSeparator" w:id="0">
    <w:p w14:paraId="0A286E52" w14:textId="77777777" w:rsidR="0036063B" w:rsidRDefault="0036063B" w:rsidP="00144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418C"/>
    <w:multiLevelType w:val="hybridMultilevel"/>
    <w:tmpl w:val="3BBE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C08A3"/>
    <w:multiLevelType w:val="hybridMultilevel"/>
    <w:tmpl w:val="E774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26F6"/>
    <w:multiLevelType w:val="hybridMultilevel"/>
    <w:tmpl w:val="445C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B4761"/>
    <w:multiLevelType w:val="hybridMultilevel"/>
    <w:tmpl w:val="B064780C"/>
    <w:lvl w:ilvl="0" w:tplc="D03E9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F0893"/>
    <w:multiLevelType w:val="hybridMultilevel"/>
    <w:tmpl w:val="445C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214AC"/>
    <w:multiLevelType w:val="hybridMultilevel"/>
    <w:tmpl w:val="BF7474CA"/>
    <w:lvl w:ilvl="0" w:tplc="EED290DE">
      <w:numFmt w:val="bullet"/>
      <w:lvlText w:val=""/>
      <w:lvlJc w:val="left"/>
      <w:pPr>
        <w:ind w:left="900" w:hanging="360"/>
      </w:pPr>
      <w:rPr>
        <w:rFonts w:ascii="Symbol" w:eastAsia="Times New Roman"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F82CAF"/>
    <w:multiLevelType w:val="hybridMultilevel"/>
    <w:tmpl w:val="7284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55713"/>
    <w:multiLevelType w:val="hybridMultilevel"/>
    <w:tmpl w:val="F154C7D6"/>
    <w:lvl w:ilvl="0" w:tplc="E4F41F4C">
      <w:start w:val="1"/>
      <w:numFmt w:val="decimal"/>
      <w:lvlText w:val="%1."/>
      <w:lvlJc w:val="left"/>
      <w:pPr>
        <w:ind w:left="54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E23A78"/>
    <w:multiLevelType w:val="hybridMultilevel"/>
    <w:tmpl w:val="746A6E0A"/>
    <w:lvl w:ilvl="0" w:tplc="05F277FA">
      <w:start w:val="1"/>
      <w:numFmt w:val="decimal"/>
      <w:lvlText w:val="%1."/>
      <w:lvlJc w:val="left"/>
      <w:pPr>
        <w:tabs>
          <w:tab w:val="num" w:pos="720"/>
        </w:tabs>
        <w:ind w:left="720" w:hanging="360"/>
      </w:pPr>
    </w:lvl>
    <w:lvl w:ilvl="1" w:tplc="37343D4C" w:tentative="1">
      <w:start w:val="1"/>
      <w:numFmt w:val="decimal"/>
      <w:lvlText w:val="%2."/>
      <w:lvlJc w:val="left"/>
      <w:pPr>
        <w:tabs>
          <w:tab w:val="num" w:pos="1440"/>
        </w:tabs>
        <w:ind w:left="1440" w:hanging="360"/>
      </w:pPr>
    </w:lvl>
    <w:lvl w:ilvl="2" w:tplc="15CEE7B4" w:tentative="1">
      <w:start w:val="1"/>
      <w:numFmt w:val="decimal"/>
      <w:lvlText w:val="%3."/>
      <w:lvlJc w:val="left"/>
      <w:pPr>
        <w:tabs>
          <w:tab w:val="num" w:pos="2160"/>
        </w:tabs>
        <w:ind w:left="2160" w:hanging="360"/>
      </w:pPr>
    </w:lvl>
    <w:lvl w:ilvl="3" w:tplc="6200030C" w:tentative="1">
      <w:start w:val="1"/>
      <w:numFmt w:val="decimal"/>
      <w:lvlText w:val="%4."/>
      <w:lvlJc w:val="left"/>
      <w:pPr>
        <w:tabs>
          <w:tab w:val="num" w:pos="2880"/>
        </w:tabs>
        <w:ind w:left="2880" w:hanging="360"/>
      </w:pPr>
    </w:lvl>
    <w:lvl w:ilvl="4" w:tplc="30FCAC40" w:tentative="1">
      <w:start w:val="1"/>
      <w:numFmt w:val="decimal"/>
      <w:lvlText w:val="%5."/>
      <w:lvlJc w:val="left"/>
      <w:pPr>
        <w:tabs>
          <w:tab w:val="num" w:pos="3600"/>
        </w:tabs>
        <w:ind w:left="3600" w:hanging="360"/>
      </w:pPr>
    </w:lvl>
    <w:lvl w:ilvl="5" w:tplc="843EBF42" w:tentative="1">
      <w:start w:val="1"/>
      <w:numFmt w:val="decimal"/>
      <w:lvlText w:val="%6."/>
      <w:lvlJc w:val="left"/>
      <w:pPr>
        <w:tabs>
          <w:tab w:val="num" w:pos="4320"/>
        </w:tabs>
        <w:ind w:left="4320" w:hanging="360"/>
      </w:pPr>
    </w:lvl>
    <w:lvl w:ilvl="6" w:tplc="CF128210" w:tentative="1">
      <w:start w:val="1"/>
      <w:numFmt w:val="decimal"/>
      <w:lvlText w:val="%7."/>
      <w:lvlJc w:val="left"/>
      <w:pPr>
        <w:tabs>
          <w:tab w:val="num" w:pos="5040"/>
        </w:tabs>
        <w:ind w:left="5040" w:hanging="360"/>
      </w:pPr>
    </w:lvl>
    <w:lvl w:ilvl="7" w:tplc="04F0C822" w:tentative="1">
      <w:start w:val="1"/>
      <w:numFmt w:val="decimal"/>
      <w:lvlText w:val="%8."/>
      <w:lvlJc w:val="left"/>
      <w:pPr>
        <w:tabs>
          <w:tab w:val="num" w:pos="5760"/>
        </w:tabs>
        <w:ind w:left="5760" w:hanging="360"/>
      </w:pPr>
    </w:lvl>
    <w:lvl w:ilvl="8" w:tplc="5DE0E7BE" w:tentative="1">
      <w:start w:val="1"/>
      <w:numFmt w:val="decimal"/>
      <w:lvlText w:val="%9."/>
      <w:lvlJc w:val="left"/>
      <w:pPr>
        <w:tabs>
          <w:tab w:val="num" w:pos="6480"/>
        </w:tabs>
        <w:ind w:left="6480" w:hanging="360"/>
      </w:pPr>
    </w:lvl>
  </w:abstractNum>
  <w:abstractNum w:abstractNumId="9">
    <w:nsid w:val="6E812A83"/>
    <w:multiLevelType w:val="hybridMultilevel"/>
    <w:tmpl w:val="445C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9"/>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DE"/>
    <w:rsid w:val="0001761F"/>
    <w:rsid w:val="00062563"/>
    <w:rsid w:val="000678F2"/>
    <w:rsid w:val="000A5F63"/>
    <w:rsid w:val="000B2CCA"/>
    <w:rsid w:val="000B31A0"/>
    <w:rsid w:val="000E7AD1"/>
    <w:rsid w:val="00101FE1"/>
    <w:rsid w:val="00132967"/>
    <w:rsid w:val="0013415A"/>
    <w:rsid w:val="00144B4F"/>
    <w:rsid w:val="0016537E"/>
    <w:rsid w:val="00167238"/>
    <w:rsid w:val="001875A0"/>
    <w:rsid w:val="00194AF0"/>
    <w:rsid w:val="001B6B7A"/>
    <w:rsid w:val="001C1991"/>
    <w:rsid w:val="001E13DB"/>
    <w:rsid w:val="001E749F"/>
    <w:rsid w:val="00221C44"/>
    <w:rsid w:val="00227FA5"/>
    <w:rsid w:val="00254880"/>
    <w:rsid w:val="002631EE"/>
    <w:rsid w:val="00277423"/>
    <w:rsid w:val="002A6622"/>
    <w:rsid w:val="002F2E87"/>
    <w:rsid w:val="00312766"/>
    <w:rsid w:val="00316272"/>
    <w:rsid w:val="00346362"/>
    <w:rsid w:val="0036063B"/>
    <w:rsid w:val="003701EC"/>
    <w:rsid w:val="00387685"/>
    <w:rsid w:val="00390B48"/>
    <w:rsid w:val="003969AF"/>
    <w:rsid w:val="003A05D7"/>
    <w:rsid w:val="003A591C"/>
    <w:rsid w:val="003A6ED2"/>
    <w:rsid w:val="003B1B60"/>
    <w:rsid w:val="003B3108"/>
    <w:rsid w:val="003C5C95"/>
    <w:rsid w:val="003C76A6"/>
    <w:rsid w:val="003D695D"/>
    <w:rsid w:val="003F3F0D"/>
    <w:rsid w:val="004117BB"/>
    <w:rsid w:val="00444978"/>
    <w:rsid w:val="004544D5"/>
    <w:rsid w:val="00463155"/>
    <w:rsid w:val="0047511C"/>
    <w:rsid w:val="00482983"/>
    <w:rsid w:val="00484ED2"/>
    <w:rsid w:val="0049295D"/>
    <w:rsid w:val="004D04C5"/>
    <w:rsid w:val="004E2782"/>
    <w:rsid w:val="004F2A65"/>
    <w:rsid w:val="00501140"/>
    <w:rsid w:val="005054D0"/>
    <w:rsid w:val="00514673"/>
    <w:rsid w:val="00525FFE"/>
    <w:rsid w:val="005301AA"/>
    <w:rsid w:val="00546DAC"/>
    <w:rsid w:val="00560F60"/>
    <w:rsid w:val="005618D0"/>
    <w:rsid w:val="005707C2"/>
    <w:rsid w:val="00572E54"/>
    <w:rsid w:val="005B0410"/>
    <w:rsid w:val="005F60B0"/>
    <w:rsid w:val="00602709"/>
    <w:rsid w:val="0061072E"/>
    <w:rsid w:val="00692A64"/>
    <w:rsid w:val="0069409B"/>
    <w:rsid w:val="006A02AF"/>
    <w:rsid w:val="006B7DE0"/>
    <w:rsid w:val="006C28DE"/>
    <w:rsid w:val="006E5744"/>
    <w:rsid w:val="006F4616"/>
    <w:rsid w:val="00707FFB"/>
    <w:rsid w:val="00745735"/>
    <w:rsid w:val="00775760"/>
    <w:rsid w:val="007820E6"/>
    <w:rsid w:val="0079617F"/>
    <w:rsid w:val="007A7D80"/>
    <w:rsid w:val="007B04DD"/>
    <w:rsid w:val="007E1541"/>
    <w:rsid w:val="007F4BEA"/>
    <w:rsid w:val="008368B8"/>
    <w:rsid w:val="00837ADD"/>
    <w:rsid w:val="00841069"/>
    <w:rsid w:val="008728A5"/>
    <w:rsid w:val="008833B3"/>
    <w:rsid w:val="0088584F"/>
    <w:rsid w:val="0088631D"/>
    <w:rsid w:val="00895C9D"/>
    <w:rsid w:val="008A50B2"/>
    <w:rsid w:val="008B7F03"/>
    <w:rsid w:val="008D16BA"/>
    <w:rsid w:val="008E50EC"/>
    <w:rsid w:val="008E5732"/>
    <w:rsid w:val="0095576B"/>
    <w:rsid w:val="00961587"/>
    <w:rsid w:val="0098568D"/>
    <w:rsid w:val="0099414C"/>
    <w:rsid w:val="009A6854"/>
    <w:rsid w:val="009A7E4E"/>
    <w:rsid w:val="009B1B17"/>
    <w:rsid w:val="009B1F6C"/>
    <w:rsid w:val="009B4E41"/>
    <w:rsid w:val="009B7345"/>
    <w:rsid w:val="009D243E"/>
    <w:rsid w:val="009D2D71"/>
    <w:rsid w:val="009D4A5F"/>
    <w:rsid w:val="009E19DE"/>
    <w:rsid w:val="00A05A98"/>
    <w:rsid w:val="00A6773C"/>
    <w:rsid w:val="00A763CF"/>
    <w:rsid w:val="00AA4C2E"/>
    <w:rsid w:val="00AD27DB"/>
    <w:rsid w:val="00AE2173"/>
    <w:rsid w:val="00B005EA"/>
    <w:rsid w:val="00B114D9"/>
    <w:rsid w:val="00B30585"/>
    <w:rsid w:val="00B42FFF"/>
    <w:rsid w:val="00B44317"/>
    <w:rsid w:val="00B46EE3"/>
    <w:rsid w:val="00B55D8B"/>
    <w:rsid w:val="00B619FA"/>
    <w:rsid w:val="00BA42CF"/>
    <w:rsid w:val="00BE1D30"/>
    <w:rsid w:val="00BE5C1F"/>
    <w:rsid w:val="00C020E5"/>
    <w:rsid w:val="00C0268E"/>
    <w:rsid w:val="00C153DD"/>
    <w:rsid w:val="00C2070A"/>
    <w:rsid w:val="00C36EFD"/>
    <w:rsid w:val="00C37DE2"/>
    <w:rsid w:val="00C63ACE"/>
    <w:rsid w:val="00D22C6A"/>
    <w:rsid w:val="00D40373"/>
    <w:rsid w:val="00D444EC"/>
    <w:rsid w:val="00D574C0"/>
    <w:rsid w:val="00D74AFC"/>
    <w:rsid w:val="00D90AAE"/>
    <w:rsid w:val="00DC4A46"/>
    <w:rsid w:val="00DE0379"/>
    <w:rsid w:val="00DE4FEB"/>
    <w:rsid w:val="00DF5719"/>
    <w:rsid w:val="00E15FEA"/>
    <w:rsid w:val="00E32432"/>
    <w:rsid w:val="00E410C7"/>
    <w:rsid w:val="00E468BF"/>
    <w:rsid w:val="00E75D34"/>
    <w:rsid w:val="00EB0032"/>
    <w:rsid w:val="00EB74D3"/>
    <w:rsid w:val="00EC593E"/>
    <w:rsid w:val="00ED0B2C"/>
    <w:rsid w:val="00ED724D"/>
    <w:rsid w:val="00EF55C5"/>
    <w:rsid w:val="00F07276"/>
    <w:rsid w:val="00F13C75"/>
    <w:rsid w:val="00F3630E"/>
    <w:rsid w:val="00F36D95"/>
    <w:rsid w:val="00F40A72"/>
    <w:rsid w:val="00F54151"/>
    <w:rsid w:val="00F63FE9"/>
    <w:rsid w:val="00F8329B"/>
    <w:rsid w:val="00F84A23"/>
    <w:rsid w:val="00FC64FE"/>
    <w:rsid w:val="00FD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08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99414C"/>
  </w:style>
  <w:style w:type="character" w:styleId="EndnoteReference">
    <w:name w:val="endnote reference"/>
    <w:rsid w:val="00144B4F"/>
    <w:rPr>
      <w:vertAlign w:val="superscript"/>
    </w:rPr>
  </w:style>
  <w:style w:type="paragraph" w:styleId="EndnoteText">
    <w:name w:val="endnote text"/>
    <w:basedOn w:val="Normal"/>
    <w:link w:val="EndnoteTextChar"/>
    <w:rsid w:val="00775760"/>
    <w:pPr>
      <w:widowControl/>
    </w:pPr>
    <w:rPr>
      <w:snapToGrid/>
    </w:rPr>
  </w:style>
  <w:style w:type="character" w:customStyle="1" w:styleId="EndnoteTextChar">
    <w:name w:val="Endnote Text Char"/>
    <w:basedOn w:val="DefaultParagraphFont"/>
    <w:link w:val="EndnoteText"/>
    <w:rsid w:val="00775760"/>
  </w:style>
  <w:style w:type="paragraph" w:styleId="BalloonText">
    <w:name w:val="Balloon Text"/>
    <w:basedOn w:val="Normal"/>
    <w:link w:val="BalloonTextChar"/>
    <w:rsid w:val="00BE5C1F"/>
    <w:rPr>
      <w:rFonts w:ascii="Segoe UI" w:hAnsi="Segoe UI" w:cs="Segoe UI"/>
      <w:sz w:val="18"/>
      <w:szCs w:val="18"/>
    </w:rPr>
  </w:style>
  <w:style w:type="character" w:customStyle="1" w:styleId="BalloonTextChar">
    <w:name w:val="Balloon Text Char"/>
    <w:link w:val="BalloonText"/>
    <w:rsid w:val="00BE5C1F"/>
    <w:rPr>
      <w:rFonts w:ascii="Segoe UI" w:hAnsi="Segoe UI" w:cs="Segoe UI"/>
      <w:snapToGrid w:val="0"/>
      <w:sz w:val="18"/>
      <w:szCs w:val="18"/>
    </w:rPr>
  </w:style>
  <w:style w:type="paragraph" w:styleId="ListParagraph">
    <w:name w:val="List Paragraph"/>
    <w:basedOn w:val="Normal"/>
    <w:uiPriority w:val="34"/>
    <w:qFormat/>
    <w:rsid w:val="00837ADD"/>
    <w:pPr>
      <w:widowControl/>
      <w:spacing w:after="200" w:line="276" w:lineRule="auto"/>
      <w:ind w:left="720"/>
      <w:contextualSpacing/>
    </w:pPr>
    <w:rPr>
      <w:rFonts w:ascii="Calibri" w:eastAsia="MS Mincho"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9370">
      <w:bodyDiv w:val="1"/>
      <w:marLeft w:val="0"/>
      <w:marRight w:val="0"/>
      <w:marTop w:val="0"/>
      <w:marBottom w:val="0"/>
      <w:divBdr>
        <w:top w:val="none" w:sz="0" w:space="0" w:color="auto"/>
        <w:left w:val="none" w:sz="0" w:space="0" w:color="auto"/>
        <w:bottom w:val="none" w:sz="0" w:space="0" w:color="auto"/>
        <w:right w:val="none" w:sz="0" w:space="0" w:color="auto"/>
      </w:divBdr>
      <w:divsChild>
        <w:div w:id="643974419">
          <w:marLeft w:val="0"/>
          <w:marRight w:val="0"/>
          <w:marTop w:val="0"/>
          <w:marBottom w:val="0"/>
          <w:divBdr>
            <w:top w:val="none" w:sz="0" w:space="0" w:color="auto"/>
            <w:left w:val="none" w:sz="0" w:space="0" w:color="auto"/>
            <w:bottom w:val="none" w:sz="0" w:space="0" w:color="auto"/>
            <w:right w:val="none" w:sz="0" w:space="0" w:color="auto"/>
          </w:divBdr>
          <w:divsChild>
            <w:div w:id="1763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8144">
      <w:bodyDiv w:val="1"/>
      <w:marLeft w:val="0"/>
      <w:marRight w:val="0"/>
      <w:marTop w:val="0"/>
      <w:marBottom w:val="0"/>
      <w:divBdr>
        <w:top w:val="none" w:sz="0" w:space="0" w:color="auto"/>
        <w:left w:val="none" w:sz="0" w:space="0" w:color="auto"/>
        <w:bottom w:val="none" w:sz="0" w:space="0" w:color="auto"/>
        <w:right w:val="none" w:sz="0" w:space="0" w:color="auto"/>
      </w:divBdr>
      <w:divsChild>
        <w:div w:id="1350108571">
          <w:marLeft w:val="0"/>
          <w:marRight w:val="0"/>
          <w:marTop w:val="0"/>
          <w:marBottom w:val="0"/>
          <w:divBdr>
            <w:top w:val="none" w:sz="0" w:space="0" w:color="auto"/>
            <w:left w:val="none" w:sz="0" w:space="0" w:color="auto"/>
            <w:bottom w:val="none" w:sz="0" w:space="0" w:color="auto"/>
            <w:right w:val="none" w:sz="0" w:space="0" w:color="auto"/>
          </w:divBdr>
          <w:divsChild>
            <w:div w:id="12655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703">
      <w:bodyDiv w:val="1"/>
      <w:marLeft w:val="0"/>
      <w:marRight w:val="0"/>
      <w:marTop w:val="0"/>
      <w:marBottom w:val="0"/>
      <w:divBdr>
        <w:top w:val="none" w:sz="0" w:space="0" w:color="auto"/>
        <w:left w:val="none" w:sz="0" w:space="0" w:color="auto"/>
        <w:bottom w:val="none" w:sz="0" w:space="0" w:color="auto"/>
        <w:right w:val="none" w:sz="0" w:space="0" w:color="auto"/>
      </w:divBdr>
      <w:divsChild>
        <w:div w:id="268701436">
          <w:marLeft w:val="0"/>
          <w:marRight w:val="0"/>
          <w:marTop w:val="0"/>
          <w:marBottom w:val="0"/>
          <w:divBdr>
            <w:top w:val="none" w:sz="0" w:space="0" w:color="auto"/>
            <w:left w:val="none" w:sz="0" w:space="0" w:color="auto"/>
            <w:bottom w:val="none" w:sz="0" w:space="0" w:color="auto"/>
            <w:right w:val="none" w:sz="0" w:space="0" w:color="auto"/>
          </w:divBdr>
          <w:divsChild>
            <w:div w:id="5942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1970">
      <w:bodyDiv w:val="1"/>
      <w:marLeft w:val="0"/>
      <w:marRight w:val="0"/>
      <w:marTop w:val="0"/>
      <w:marBottom w:val="0"/>
      <w:divBdr>
        <w:top w:val="none" w:sz="0" w:space="0" w:color="auto"/>
        <w:left w:val="none" w:sz="0" w:space="0" w:color="auto"/>
        <w:bottom w:val="none" w:sz="0" w:space="0" w:color="auto"/>
        <w:right w:val="none" w:sz="0" w:space="0" w:color="auto"/>
      </w:divBdr>
      <w:divsChild>
        <w:div w:id="1488472349">
          <w:marLeft w:val="547"/>
          <w:marRight w:val="0"/>
          <w:marTop w:val="24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5EDC-E072-AF49-87BB-94E0938F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Electrochemical Society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Electrochemical</dc:creator>
  <cp:keywords>Non Technical</cp:keywords>
  <cp:lastModifiedBy>Pann, Serge</cp:lastModifiedBy>
  <cp:revision>2</cp:revision>
  <cp:lastPrinted>2016-12-01T14:10:00Z</cp:lastPrinted>
  <dcterms:created xsi:type="dcterms:W3CDTF">2017-10-06T14:59:00Z</dcterms:created>
  <dcterms:modified xsi:type="dcterms:W3CDTF">2017-10-06T14:59:00Z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a994e597-99d4-4fcb-8eaa-6c5b8a26bc1d</vt:lpwstr>
  </property>
  <property fmtid="{D5CDD505-2E9C-101B-9397-08002B2CF9AE}" pid="3" name="UTCTechnicalData">
    <vt:lpwstr>No</vt:lpwstr>
  </property>
  <property fmtid="{D5CDD505-2E9C-101B-9397-08002B2CF9AE}" pid="4" name="UTCTechnicalDataKeyword">
    <vt:lpwstr>Non Technical</vt:lpwstr>
  </property>
</Properties>
</file>